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A6" w:rsidRDefault="00EC36A6" w:rsidP="001C41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19"/>
        <w:gridCol w:w="4198"/>
      </w:tblGrid>
      <w:tr w:rsidR="00EC36A6" w:rsidRPr="00EC36A6" w:rsidTr="00EC36A6">
        <w:trPr>
          <w:trHeight w:val="3403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EC36A6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К</w:t>
            </w: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РЕСПУБЛИКАЋЫ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Туймазы районы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хакимиәте</w:t>
            </w:r>
            <w:proofErr w:type="spellEnd"/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Девон урамы,2.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Тел.(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34782) 9-15-68, 2-62-74; факс 9-15-68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ИНН 0269005365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1020202217034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5650" cy="7874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Серафимовский сельсовет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Туймазинский район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452780, Туймазинский район, </w:t>
            </w:r>
            <w:proofErr w:type="spell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с.Серафимовский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ул.Девонская,2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Тел.(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34782) 9-15-68, 2-62-74; факс 9-15-68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ИНН 0269005365</w:t>
            </w:r>
          </w:p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6A6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1020202217034</w:t>
            </w:r>
          </w:p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19B7" w:rsidRPr="00F419B7" w:rsidRDefault="00F419B7" w:rsidP="00EC36A6">
      <w:pPr>
        <w:spacing w:after="0"/>
        <w:rPr>
          <w:b/>
          <w:sz w:val="28"/>
          <w:szCs w:val="28"/>
        </w:rPr>
      </w:pPr>
      <w:r>
        <w:rPr>
          <w:b/>
        </w:rPr>
        <w:t xml:space="preserve">                            </w:t>
      </w:r>
      <w:r>
        <w:rPr>
          <w:b/>
          <w:noProof/>
        </w:rPr>
        <w:drawing>
          <wp:inline distT="0" distB="0" distL="0" distR="0">
            <wp:extent cx="724535" cy="2673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682">
        <w:rPr>
          <w:b/>
        </w:rPr>
        <w:tab/>
      </w:r>
      <w:r w:rsidRPr="005F468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4682">
        <w:rPr>
          <w:b/>
        </w:rPr>
        <w:tab/>
      </w:r>
      <w:r w:rsidRPr="00F419B7">
        <w:rPr>
          <w:b/>
          <w:sz w:val="24"/>
          <w:szCs w:val="24"/>
        </w:rPr>
        <w:t xml:space="preserve">              </w:t>
      </w:r>
      <w:r w:rsidRPr="00F419B7">
        <w:rPr>
          <w:b/>
          <w:sz w:val="24"/>
          <w:szCs w:val="24"/>
        </w:rPr>
        <w:tab/>
      </w:r>
      <w:r w:rsidRPr="00F419B7">
        <w:rPr>
          <w:b/>
          <w:sz w:val="28"/>
          <w:szCs w:val="28"/>
        </w:rPr>
        <w:t>ПОСТАНОВЛЕНИЕ</w:t>
      </w:r>
    </w:p>
    <w:p w:rsidR="00F419B7" w:rsidRDefault="00F419B7" w:rsidP="00EC36A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Pr="00E27D4F">
        <w:t>«</w:t>
      </w:r>
      <w:r w:rsidRPr="00FD4313">
        <w:t>___</w:t>
      </w:r>
      <w:r w:rsidRPr="00E27D4F">
        <w:t xml:space="preserve">» </w:t>
      </w:r>
      <w:r>
        <w:t>_______</w:t>
      </w:r>
      <w:proofErr w:type="gramStart"/>
      <w:r>
        <w:t>_</w:t>
      </w:r>
      <w:r w:rsidRPr="00E27D4F">
        <w:t xml:space="preserve">  20</w:t>
      </w:r>
      <w:r w:rsidRPr="00C378E5">
        <w:t>2</w:t>
      </w:r>
      <w:r w:rsidR="001E7952">
        <w:t>1</w:t>
      </w:r>
      <w:proofErr w:type="gramEnd"/>
      <w:r w:rsidRPr="00E27D4F">
        <w:t xml:space="preserve"> г.              </w:t>
      </w:r>
      <w:r>
        <w:t xml:space="preserve"> </w:t>
      </w:r>
      <w:r w:rsidRPr="00E27D4F">
        <w:t xml:space="preserve">                    № </w:t>
      </w:r>
      <w:r>
        <w:t>__</w:t>
      </w:r>
      <w:r w:rsidRPr="00E27D4F">
        <w:t xml:space="preserve">       </w:t>
      </w:r>
      <w:r>
        <w:t xml:space="preserve">                </w:t>
      </w:r>
      <w:r>
        <w:tab/>
      </w:r>
      <w:r>
        <w:tab/>
      </w:r>
      <w:r w:rsidRPr="00E27D4F">
        <w:t>«</w:t>
      </w:r>
      <w:r>
        <w:t>___</w:t>
      </w:r>
      <w:r w:rsidRPr="00E27D4F">
        <w:t xml:space="preserve">» </w:t>
      </w:r>
      <w:r>
        <w:t>_________</w:t>
      </w:r>
      <w:r w:rsidRPr="00E27D4F">
        <w:t xml:space="preserve"> 20</w:t>
      </w:r>
      <w:r w:rsidRPr="00C378E5">
        <w:t>2</w:t>
      </w:r>
      <w:r w:rsidR="001E7952">
        <w:t>1</w:t>
      </w:r>
      <w:r w:rsidRPr="00C378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г.</w:t>
      </w:r>
    </w:p>
    <w:p w:rsidR="00EC36A6" w:rsidRDefault="00EC36A6" w:rsidP="00EC36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</w:t>
      </w:r>
      <w:proofErr w:type="gramStart"/>
      <w:r w:rsidRPr="001E7952">
        <w:rPr>
          <w:rFonts w:ascii="Times New Roman" w:eastAsia="Times New Roman" w:hAnsi="Times New Roman" w:cs="Times New Roman"/>
          <w:b/>
          <w:sz w:val="28"/>
          <w:szCs w:val="28"/>
        </w:rPr>
        <w:t>бюджета  сельского</w:t>
      </w:r>
      <w:proofErr w:type="gramEnd"/>
      <w:r w:rsidRPr="001E79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Серафимовский сельсовет муниципального района Туймазинский район Республики Башкортостан в текущем финансовом году</w:t>
      </w: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Pr="001E7952" w:rsidRDefault="001E7952" w:rsidP="00EC36A6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217.1 Бюджетного кодекса Россий</w:t>
      </w:r>
      <w:bookmarkStart w:id="0" w:name="_GoBack"/>
      <w:bookmarkEnd w:id="0"/>
      <w:r w:rsidRPr="001E7952">
        <w:rPr>
          <w:rFonts w:ascii="Times New Roman" w:eastAsia="Times New Roman" w:hAnsi="Times New Roman" w:cs="Times New Roman"/>
          <w:sz w:val="28"/>
          <w:szCs w:val="28"/>
        </w:rPr>
        <w:t>ской Федерации ПОСТАНОВЛЯЮ:</w:t>
      </w:r>
    </w:p>
    <w:p w:rsidR="001E7952" w:rsidRPr="001E7952" w:rsidRDefault="001E7952" w:rsidP="00EC36A6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Серафимовский сельсовет 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 в текущем финансовом году.</w:t>
      </w:r>
    </w:p>
    <w:p w:rsidR="001E7952" w:rsidRPr="001E7952" w:rsidRDefault="001E7952" w:rsidP="00EC36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E79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главы Администрации муниципального района Туймазинский район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795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«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Порядка составления и ведения кассового плана исполнения 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</w:t>
      </w:r>
      <w:r w:rsidR="00EC36A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Серафимовский сельсовет 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Туймазинский район Республики Башкортостан в текущем финансовом году» от </w:t>
      </w:r>
      <w:r w:rsidR="00EC36A6">
        <w:rPr>
          <w:rFonts w:ascii="Times New Roman" w:eastAsia="Times New Roman" w:hAnsi="Times New Roman" w:cs="Times New Roman"/>
          <w:bCs/>
          <w:sz w:val="28"/>
          <w:szCs w:val="28"/>
        </w:rPr>
        <w:t>09.04.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>2020 года №</w:t>
      </w:r>
      <w:r w:rsidR="00EC36A6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Pr="001E79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952" w:rsidRDefault="001E7952" w:rsidP="00EC36A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 xml:space="preserve">3.  Настоящее постановление вступает в силу с 1 января 2021 года.    </w:t>
      </w:r>
    </w:p>
    <w:p w:rsidR="001E7952" w:rsidRDefault="001E7952" w:rsidP="00EC36A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95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2" w:rsidRPr="001E7952" w:rsidRDefault="001E7952" w:rsidP="001E7952">
      <w:pPr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4B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Серафимовский сельсовет</w:t>
      </w: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Нелюбин А.Н.</w:t>
      </w:r>
    </w:p>
    <w:p w:rsidR="007264B9" w:rsidRDefault="007264B9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Туймазинский район</w:t>
      </w:r>
    </w:p>
    <w:p w:rsidR="00C83413" w:rsidRDefault="007264B9" w:rsidP="00C83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</w:t>
      </w:r>
      <w:r w:rsidR="004D3949">
        <w:rPr>
          <w:rFonts w:ascii="Times New Roman" w:hAnsi="Times New Roman" w:cs="Times New Roman"/>
          <w:sz w:val="24"/>
          <w:szCs w:val="24"/>
        </w:rPr>
        <w:t>н</w:t>
      </w:r>
    </w:p>
    <w:p w:rsidR="00C83413" w:rsidRDefault="00C83413" w:rsidP="0072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6A6" w:rsidRPr="00EC36A6" w:rsidRDefault="00E91FAE" w:rsidP="00EC36A6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C36A6" w:rsidRDefault="00EC36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сельского поселения Серафимовский сельсовет муниципального района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Туймазинский район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от ___________г. № ____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P35"/>
      <w:bookmarkEnd w:id="1"/>
      <w:r w:rsidRPr="00EC36A6">
        <w:rPr>
          <w:rFonts w:ascii="Times New Roman" w:eastAsia="Times New Roman" w:hAnsi="Times New Roman" w:cs="Times New Roman"/>
          <w:b/>
          <w:sz w:val="20"/>
          <w:szCs w:val="20"/>
        </w:rPr>
        <w:t>ПОРЯДОК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b/>
          <w:sz w:val="20"/>
          <w:szCs w:val="20"/>
        </w:rPr>
        <w:t>составления и ведения кассового плана исполнения бюджета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C36A6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района Туймазинский район Республики Башкортостан в текущем финансовом году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1. Настоящий Порядок составления и ведения кассового плана исполнения бюджета сельского поселения Серафимовский сельсовет муниципального района Туймазинский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Серафимовский сельсовет муниципального района Туймазинский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2. Кассовый план включает: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кассовый план исполнения бюджета сельского поселения Серафимовский сельсовет муниципального района Туймазинский район Республики Башкортостан на текущий финансовый год;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кассовый план исполнения бюджета сельского поселения Серафимовский сельсовет муниципального района Туймазинский район Республики </w:t>
      </w:r>
      <w:proofErr w:type="gramStart"/>
      <w:r w:rsidRPr="00EC36A6">
        <w:rPr>
          <w:rFonts w:ascii="Times New Roman" w:eastAsia="Times New Roman" w:hAnsi="Times New Roman" w:cs="Times New Roman"/>
          <w:sz w:val="20"/>
          <w:szCs w:val="20"/>
        </w:rPr>
        <w:t>Башкортостан  на</w:t>
      </w:r>
      <w:proofErr w:type="gram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текущий месяц.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3. Составление и ведение кассового плана осуществляется финансовым управлением Администрации муниципального района Туймазинский район Республики Башкортостан (далее – финансовое управление) в информационной системе, используемой финансовым управлением в электронном виде с применением средств электронной подписи.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муниципального района Туймазинский район Республики Башкортостан и показателях сводной бюджетной росписи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(далее – информация об исполнении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4. Кассовый план исполнения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форме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согласно приложению № 1 к настоящему Порядку, кассовый план исполнения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 xml:space="preserve">приложению № 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>2 к настоящему Порядку и утверждается заместителем главы Администрации по финансовым вопросам - начальником финансового управления Администрации муниципального района Туймазинский район (лицом, исполняющим его обязанности).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главами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перечислений по расходам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поступлений и перечислений по источникам финансирования дефицита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иных необходимых показателей.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главами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54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прогноза перечислений по расходам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месяц, формируемого в порядке,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предусмотренном </w:t>
      </w:r>
      <w:hyperlink w:anchor="P8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III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прогноза поступлений и перечислений по источникам финансирования дефицита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на текущий месяц, формируемого в порядке, предусмотренном </w:t>
      </w:r>
      <w:hyperlink w:anchor="P108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главой IV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иных необходимых показателей.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7. Показатели кассового плана на текущий месяц </w:t>
      </w:r>
      <w:hyperlink w:anchor="P1446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(приложение № 2)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(приложение № 1)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 текущему месяцу с учетом внесенных в него изменений в ходе ведения кассового плана.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2" w:name="P54"/>
      <w:bookmarkEnd w:id="2"/>
      <w:r w:rsidRPr="00EC36A6">
        <w:rPr>
          <w:rFonts w:ascii="Times New Roman" w:eastAsia="Times New Roman" w:hAnsi="Times New Roman" w:cs="Times New Roman"/>
          <w:sz w:val="20"/>
          <w:szCs w:val="20"/>
        </w:rPr>
        <w:t>II. Порядок составления, уточнения и направления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прогнозов поступлений по доходам бюджета</w:t>
      </w:r>
      <w:r w:rsidR="004218A6" w:rsidRPr="004218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>сельского поселения Серафимовский сельсовет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Туймазинский район Республики Башкортостан на текущий финансовый год и прогнозов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8. Показатели для кассового плана на текущий финансовый год по поступлениям доходов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Туймазинский район Республики Башкортостан формируются на основании прогнозов поступлений по доходам бюджета </w:t>
      </w:r>
      <w:r w:rsidR="004218A6" w:rsidRPr="00EC36A6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Серафимовский сельсовет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муниципального района Туймазинский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муниципального района Туймазинский район Республики Башкортостан.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доходам, по безвозмездным поступлениям – в отдел прогнозирования финансовых ресурсов и налогов финансового управления (далее –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10. В целях ведения кассового плана на текущий финансовый год главные администраторы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 уточненные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При уточнении прогнозов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указываются фактические поступления доходов в бюджет муниципального района Туймазинский район Республики Башкортостан за отчетный период, в соответствии с информацией об исполнении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Уточненные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направляются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доходам, по безвозмездным поступлениям – в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11.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основе прогнозов главных администраторов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формирует прогноз поступлений по налоговым и неналоговым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4 к настоящему Порядку):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12. Показатели для кассового плана на текущий месяц по поступлениям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 прогноза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13.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доходам, по безвозмездным поступлениям – в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14. В период с февраля по декабрь текущего финансового года прогнозы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формируются и направляются главными администраторами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 налоговым и неналоговым доходам по безвозмездным </w:t>
      </w:r>
      <w:proofErr w:type="gramStart"/>
      <w:r w:rsidRPr="00EC36A6">
        <w:rPr>
          <w:rFonts w:ascii="Times New Roman" w:eastAsia="Times New Roman" w:hAnsi="Times New Roman" w:cs="Times New Roman"/>
          <w:sz w:val="20"/>
          <w:szCs w:val="20"/>
        </w:rPr>
        <w:t>поступлениям,  –</w:t>
      </w:r>
      <w:proofErr w:type="gram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в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15. Отдел </w:t>
      </w:r>
      <w:proofErr w:type="spellStart"/>
      <w:r w:rsidRPr="00EC36A6">
        <w:rPr>
          <w:rFonts w:ascii="Times New Roman" w:eastAsia="Times New Roman" w:hAnsi="Times New Roman" w:cs="Times New Roman"/>
          <w:sz w:val="20"/>
          <w:szCs w:val="20"/>
        </w:rPr>
        <w:t>ПФРиН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основе </w:t>
      </w:r>
      <w:hyperlink w:anchor="P1387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прогнозов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главных администраторов доходов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формирует прогноз поступлений по налоговым и неналоговым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 (приложение № 6 к настоящему Порядку):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16. Показатели прогнозов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3) по текущему месяцу.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III. Порядок составления, уточнения и направления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и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17. Показатели для кассового плана на текущий финансовый год по перечислениям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прогнозов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18. В целях составления кассового плана на текущий финансовый год главные распорядители средств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 к настоящему Порядку) и направляют в финансовое управление не позднее тринадцатого рабочего дня декабря текущего финансового года.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 к настоящему Порядку) и направляют в финансовое управление.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Уточнение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осуществляется: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в связи с внесением изменений в показатели 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– по мере внесения изменений в показатели 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информации об исполнении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При уточнении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указываются фактические перечисления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20. Показатели для кассового плана на текущий месяц по перечислениям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прогнозов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 xml:space="preserve"> Республики Башкортостан на текущий месяц (приложение № 8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8 к настоящему Порядку) и направляют в финансовое управление: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22. Показатели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7) по текущему месяцу.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P108"/>
      <w:bookmarkEnd w:id="3"/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сводной бюджетной росписи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прогноза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24.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не позднее тринадцатого рабочего дня декабря текущего финансового года направляют в финансовое управление прогноз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Финансовое управление по закрепленным кодам классификации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25.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Башкортостан, формируют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год.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При уточнении указываются фактические поступления и перечисления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</w:t>
      </w:r>
      <w:proofErr w:type="gramStart"/>
      <w:r w:rsidR="004218A6">
        <w:rPr>
          <w:rFonts w:ascii="Times New Roman" w:eastAsia="Times New Roman" w:hAnsi="Times New Roman" w:cs="Times New Roman"/>
          <w:sz w:val="20"/>
          <w:szCs w:val="20"/>
        </w:rPr>
        <w:t>сельсовет  муниципального</w:t>
      </w:r>
      <w:proofErr w:type="gramEnd"/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за отчетный период, в соответствии с информацией об исполнении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Уточненный прогноз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финансовое управление ежемесячно не позднее третьего рабочего дня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 кодам формируют в период с февраля по декабрь 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текущего финансового года по состоянию на первое число текущего месяца ежемесячно не позднее третьего рабочего дня текущего месяца, согласованный начальником финансового управления уточненный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27. На основе уточненных прогнозов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по закрепленным кодам формируют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29.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 кодам формируют не позднее тринадцатого рабочего дня декабря текущего финансового года,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30.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 xml:space="preserve">кодам формируют не позднее четырнадцатого рабочего дня декабря текущего финансового года,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31.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 кодам формируют в период с февраля по декабрь текущего финансового года ежемесячно не позднее третьего рабочего дня текущего месяца,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32. Главные администраторы источников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 xml:space="preserve">бюджета сельского поселения Серафимовский сельсовет  муниципального </w:t>
      </w:r>
      <w:proofErr w:type="spellStart"/>
      <w:r w:rsidR="004218A6">
        <w:rPr>
          <w:rFonts w:ascii="Times New Roman" w:eastAsia="Times New Roman" w:hAnsi="Times New Roman" w:cs="Times New Roman"/>
          <w:sz w:val="20"/>
          <w:szCs w:val="20"/>
        </w:rPr>
        <w:t>района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закрепленным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>кодам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ab/>
        <w:t xml:space="preserve"> формируют в период с февраля по декабрь текущего финансового года ежемесячно не позднее четвертого рабочего дня текущего месяца, </w:t>
      </w:r>
      <w:hyperlink w:anchor="P380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прогноз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33. Показатели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</w:t>
      </w:r>
      <w:r w:rsidR="004218A6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Серафимовский сельсовет  муниципального района Туймазинский</w:t>
      </w: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на текущий финансовый год (приложение № 9) по текущему месяцу.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34. Кассовый </w:t>
      </w:r>
      <w:hyperlink w:anchor="P69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план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текущий финансовый год составляется финансовым управлением (приложение № 1 к настоящему Порядку) не позднее пятнадцатого рабочего дня декабря текущего финансового года.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Показатели кассового плана на текущий финансовый год подлежат согласованию </w:t>
      </w:r>
      <w:proofErr w:type="gramStart"/>
      <w:r w:rsidRPr="00EC36A6">
        <w:rPr>
          <w:rFonts w:ascii="Times New Roman" w:eastAsia="Times New Roman" w:hAnsi="Times New Roman" w:cs="Times New Roman"/>
          <w:sz w:val="20"/>
          <w:szCs w:val="20"/>
        </w:rPr>
        <w:t>соответствующими  отделами</w:t>
      </w:r>
      <w:proofErr w:type="gramEnd"/>
      <w:r w:rsidRPr="00EC36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35. Финансовое управление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36. Кассовый </w:t>
      </w:r>
      <w:hyperlink w:anchor="P693" w:history="1">
        <w:r w:rsidRPr="00EC36A6">
          <w:rPr>
            <w:rFonts w:ascii="Times New Roman" w:eastAsia="Times New Roman" w:hAnsi="Times New Roman" w:cs="Times New Roman"/>
            <w:sz w:val="20"/>
            <w:szCs w:val="20"/>
          </w:rPr>
          <w:t>план</w:t>
        </w:r>
      </w:hyperlink>
      <w:r w:rsidRPr="00EC36A6">
        <w:rPr>
          <w:rFonts w:ascii="Times New Roman" w:eastAsia="Times New Roman" w:hAnsi="Times New Roman" w:cs="Times New Roman"/>
          <w:sz w:val="20"/>
          <w:szCs w:val="20"/>
        </w:rPr>
        <w:t xml:space="preserve"> на текущий месяц (приложение № 2 к настоящему Порядку) составляется финансовым управлением: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t>в период с февраля по декабрь текущего финансового года – ежемесячно не позднее пятого рабочего дня.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lastRenderedPageBreak/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EC36A6" w:rsidRPr="00EC36A6" w:rsidSect="00EC36A6">
          <w:headerReference w:type="even" r:id="rId7"/>
          <w:headerReference w:type="default" r:id="rId8"/>
          <w:pgSz w:w="11907" w:h="16840" w:code="9"/>
          <w:pgMar w:top="568" w:right="850" w:bottom="244" w:left="993" w:header="591" w:footer="720" w:gutter="0"/>
          <w:cols w:space="720"/>
        </w:sect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1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</w:t>
      </w:r>
    </w:p>
    <w:p w:rsidR="00EC36A6" w:rsidRPr="00EC36A6" w:rsidRDefault="004218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бюджета сельского поселения Серафимовский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сельсовет  муниципального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района Туймазинский</w:t>
      </w:r>
      <w:r w:rsidR="00EC36A6" w:rsidRPr="00EC36A6">
        <w:rPr>
          <w:rFonts w:ascii="Times New Roman" w:eastAsia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УТВЕРЖДАЮ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Зам. главы Администрации по финансовым вопросам -начальник 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"__" 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4" w:name="P693"/>
      <w:bookmarkEnd w:id="4"/>
      <w:r w:rsidRPr="00EC36A6">
        <w:rPr>
          <w:rFonts w:ascii="Times New Roman" w:eastAsia="Times New Roman" w:hAnsi="Times New Roman" w:cs="Times New Roman"/>
          <w:sz w:val="18"/>
          <w:szCs w:val="18"/>
        </w:rPr>
        <w:t>КАССОВЫЙ ПЛАН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Наименование органа,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осуществляющего составление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ведение кассового плана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ФИНАНСОВОЕ УПРАВЛЕНИЕ АДМИНИСТРАЦИИ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C36A6" w:rsidRPr="00EC36A6" w:rsidTr="00EC36A6">
        <w:tc>
          <w:tcPr>
            <w:tcW w:w="218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218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на едином счете бюджета МР Туймазинский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МР Туймазинский район Республики Башкортостан - всего,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привлечение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  из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бюджета МР Туймазинский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C36A6" w:rsidRPr="00EC36A6" w:rsidTr="00EC36A6">
        <w:tc>
          <w:tcPr>
            <w:tcW w:w="218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18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493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C36A6" w:rsidRPr="00EC36A6" w:rsidTr="00EC36A6">
        <w:trPr>
          <w:trHeight w:val="78"/>
        </w:trPr>
        <w:tc>
          <w:tcPr>
            <w:tcW w:w="240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 по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источникам финансирования дефицита бюджета МР Туймазинский район Республики Башкортостан - всего,</w:t>
            </w:r>
          </w:p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20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бюджетных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  другим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бюджетам бюджетной системы РФ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96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средств бюджета МР Туймазинский район Республики Башкортостан на банковские депозиты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74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Сальдо операций по поступлениям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  перечислениям</w:t>
            </w:r>
            <w:proofErr w:type="gramEnd"/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6"/>
        </w:trPr>
        <w:tc>
          <w:tcPr>
            <w:tcW w:w="240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на едином счете бюджета МР Туймазинский район Республики Башкортостан на конец отчетного периода</w:t>
            </w:r>
          </w:p>
        </w:tc>
        <w:tc>
          <w:tcPr>
            <w:tcW w:w="4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4"/>
          <w:szCs w:val="2"/>
        </w:rPr>
      </w:pPr>
      <w:r w:rsidRPr="00EC36A6">
        <w:rPr>
          <w:rFonts w:ascii="Times New Roman" w:eastAsia="Times New Roman" w:hAnsi="Times New Roman" w:cs="Times New Roman"/>
          <w:sz w:val="14"/>
          <w:szCs w:val="2"/>
        </w:rPr>
        <w:t>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2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УТВЕРЖДАЮ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Зам.главы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по финансовым вопросам - начальник 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"__" 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КАССОВЫЙ ПЛАН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МР ТУЙМАЗИНСКИЙ РАЙОН РЕСПУБЛИКИ БАШКОРТОСТАН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Наименование органа,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осуществляющего составление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ведение кассового плана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исполнения бюджета          ФИНАНСОВОЕ УПРАВЛЕНИЕ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показателя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Остатки на едином счете бюджета МР Туймазинский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МР Туймазинский район Республики Башкортостан -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бюджета МР Туймазинский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перечисления по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расходам,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трансферты,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МР Туймазинский район Республики Башкортостан -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  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C36A6" w:rsidRPr="00EC36A6" w:rsidTr="00EC36A6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бюджетных </w:t>
            </w:r>
            <w:proofErr w:type="gramStart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кредитов  другим</w:t>
            </w:r>
            <w:proofErr w:type="gramEnd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средств бюджета МР Туймазинский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Остатки на едином счете бюджета МР Туймазинский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3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5" w:name="P162"/>
      <w:bookmarkEnd w:id="5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ПО ДОХОДАМ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НА ТЕКУЩИЙ ФИНАНСОВЫЙ ГОД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___________________________________________________________________________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C36A6" w:rsidRPr="00EC36A6" w:rsidTr="00EC36A6">
        <w:tc>
          <w:tcPr>
            <w:tcW w:w="105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05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05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05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4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 и ведения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кассового плана исполнения бюджета МР Туймазинский район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6" w:name="P1387"/>
      <w:bookmarkEnd w:id="6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ДОХОДОВ В БЮДЖЕТ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C36A6" w:rsidRPr="00EC36A6" w:rsidTr="00EC36A6">
        <w:tc>
          <w:tcPr>
            <w:tcW w:w="176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76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7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7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7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отдела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(иное уполномоченное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лицо)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_________    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(подпись)    (расшифровка подписи)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Зам.главы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по финансовым вопросам –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финансового управления (иное уполномоченное лицо)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 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"___" __________ 20__ г.»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5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ПО ДОХОДАМ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НА ТЕКУЩИЙ МЕСЯЦ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район Республики Башкортостан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___________________________________________________________________________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C36A6" w:rsidRPr="00EC36A6" w:rsidTr="00EC36A6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C36A6" w:rsidRPr="00EC36A6" w:rsidTr="00EC36A6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6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 и ведения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кассового плана исполнения бюджета МР Туймазинский район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в текущем финансовом году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ДОХОДОВ В БЮДЖЕТ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"__" 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Отдел прогнозирования финансовых ресурсов и налогов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финансового управления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Единица измерения: руб.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C36A6" w:rsidRPr="00EC36A6" w:rsidTr="00EC36A6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EC36A6" w:rsidRPr="00EC36A6" w:rsidTr="00EC36A6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отдела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(иное уполномоченное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лицо)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_________    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(подпись)    (расшифровка подписи)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Зам.главы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Администрации по финансовым вопросам –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начальник финансового управления (иное уполномоченное лицо)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_________  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EC36A6">
        <w:rPr>
          <w:rFonts w:ascii="Times New Roman" w:eastAsia="Times New Roman" w:hAnsi="Times New Roman" w:cs="Times New Roman"/>
          <w:sz w:val="18"/>
          <w:szCs w:val="18"/>
        </w:rPr>
        <w:t>И.О.Фамилия</w:t>
      </w:r>
      <w:proofErr w:type="spellEnd"/>
      <w:r w:rsidRPr="00EC36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"___" __________ 20__ г.»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7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7" w:name="P272"/>
      <w:bookmarkEnd w:id="7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ПЕРЕЧИСЛЕНИЙ ПО РАСХОДАМ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  РЕСПУБЛИКИ БАШКОРТОСТОСТАН 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распорядитель средств бюджета МР Туймазинский район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___________________________________________________________________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8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ПЕРЕЧИСЛЕНИЙ ПО РАСХОДАМ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БЮДЖЕТА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БАШКОРТОСТОСТАН 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"______" 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распорядитель средств бюджета МР Туймазинский район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___________________________________________________________________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C36A6" w:rsidRPr="00EC36A6" w:rsidTr="00EC36A6">
        <w:tc>
          <w:tcPr>
            <w:tcW w:w="2271" w:type="dxa"/>
            <w:vMerge w:val="restart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EC36A6" w:rsidRPr="00EC36A6" w:rsidTr="00EC36A6">
        <w:tc>
          <w:tcPr>
            <w:tcW w:w="2271" w:type="dxa"/>
            <w:vMerge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C36A6" w:rsidRPr="00EC36A6" w:rsidRDefault="00EC36A6" w:rsidP="00EC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173"/>
        </w:trPr>
        <w:tc>
          <w:tcPr>
            <w:tcW w:w="227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C36A6" w:rsidRPr="00EC36A6" w:rsidTr="00EC36A6">
        <w:trPr>
          <w:trHeight w:val="193"/>
        </w:trPr>
        <w:tc>
          <w:tcPr>
            <w:tcW w:w="2271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rPr>
          <w:trHeight w:val="44"/>
        </w:trPr>
        <w:tc>
          <w:tcPr>
            <w:tcW w:w="2271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227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(подпись) 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Приложение № 9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1" w:name="P380"/>
      <w:bookmarkEnd w:id="11"/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ИСТОЧНИКАМ ФИНАНСИРОВАНИЯ ДЕФИЦИТА БЮДЖЕТА МР ТУЙМАЗИНСКИЙ РАЙОН  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ФИНАНСОВЫЙ ГОД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"_____" __________________ 20__ г.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МР Туймазинский район РБ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36A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C36A6" w:rsidRPr="00EC36A6" w:rsidTr="00EC36A6">
        <w:tc>
          <w:tcPr>
            <w:tcW w:w="133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6A6" w:rsidRPr="00EC36A6" w:rsidTr="00EC36A6">
        <w:tc>
          <w:tcPr>
            <w:tcW w:w="133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(расшифровка подписи) 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"_____" __________________ 20___ г.»</w:t>
      </w: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10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к Порядку составления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бюджета МР Туймазинский район Республики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ИСТОЧНИКАМ ФИНАНСИРОВАНИЯ ДЕФИЦИТА БЮДЖЕТА МР ТУЙМАЗИНСКИЙ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>РАЙОН  РЕСПУБЛИКИ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БАШКОРТОСТАН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НА ТЕКУЩИЙ МЕСЯЦ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на "_____" __________________ 20__ г.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МР Туймазинский район РБ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(соответствующий отраслевой отдел)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______________________________________________________________________________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C36A6" w:rsidRPr="00EC36A6" w:rsidTr="00EC36A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EC36A6" w:rsidRPr="00EC36A6" w:rsidTr="00EC36A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C36A6" w:rsidRPr="00EC36A6" w:rsidTr="00EC36A6">
        <w:trPr>
          <w:trHeight w:val="18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C36A6" w:rsidRPr="00EC36A6" w:rsidTr="00EC36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C36A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A6" w:rsidRPr="00EC36A6" w:rsidRDefault="00EC36A6" w:rsidP="00EC3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отдела)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             (расшифровка подписи)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Исполнитель    _____________ ____________ ______________________ ___________                            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    (подпись)      (расшифровка подписи)    (телефон)</w:t>
      </w:r>
    </w:p>
    <w:p w:rsidR="00EC36A6" w:rsidRPr="00EC36A6" w:rsidRDefault="00EC36A6" w:rsidP="00EC36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EC36A6">
        <w:rPr>
          <w:rFonts w:ascii="Times New Roman" w:eastAsia="Times New Roman" w:hAnsi="Times New Roman" w:cs="Times New Roman"/>
          <w:sz w:val="18"/>
          <w:szCs w:val="18"/>
        </w:rPr>
        <w:t xml:space="preserve"> "_____" __________________ 20___ г.</w:t>
      </w: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EC36A6" w:rsidRPr="00EC36A6" w:rsidSect="00EC36A6">
          <w:pgSz w:w="16840" w:h="11907" w:orient="landscape" w:code="9"/>
          <w:pgMar w:top="851" w:right="567" w:bottom="851" w:left="851" w:header="590" w:footer="720" w:gutter="0"/>
          <w:cols w:space="720"/>
          <w:docGrid w:linePitch="272"/>
        </w:sectPr>
      </w:pPr>
    </w:p>
    <w:p w:rsidR="00EC36A6" w:rsidRPr="00EC36A6" w:rsidRDefault="00EC36A6" w:rsidP="00EC36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91FAE" w:rsidRPr="00892DEC" w:rsidRDefault="00E91FAE" w:rsidP="00892DEC">
      <w:pPr>
        <w:spacing w:after="0"/>
        <w:rPr>
          <w:rFonts w:ascii="Arial" w:hAnsi="Arial" w:cs="Arial"/>
          <w:sz w:val="20"/>
          <w:szCs w:val="20"/>
        </w:rPr>
      </w:pPr>
    </w:p>
    <w:sectPr w:rsidR="00E91FAE" w:rsidRPr="00892DEC" w:rsidSect="00EC36A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A6" w:rsidRDefault="00EC36A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C36A6" w:rsidRDefault="00EC36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A6" w:rsidRPr="004B71E3" w:rsidRDefault="00EC36A6" w:rsidP="00EC36A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DCD6769"/>
    <w:multiLevelType w:val="hybridMultilevel"/>
    <w:tmpl w:val="FFA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E63D10"/>
    <w:multiLevelType w:val="hybridMultilevel"/>
    <w:tmpl w:val="F08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0"/>
    <w:rsid w:val="000D1B3B"/>
    <w:rsid w:val="001725DE"/>
    <w:rsid w:val="001C084B"/>
    <w:rsid w:val="001C41AF"/>
    <w:rsid w:val="001E7952"/>
    <w:rsid w:val="003975C0"/>
    <w:rsid w:val="003C5710"/>
    <w:rsid w:val="003D1640"/>
    <w:rsid w:val="00420932"/>
    <w:rsid w:val="004218A6"/>
    <w:rsid w:val="00483D9B"/>
    <w:rsid w:val="004C07F0"/>
    <w:rsid w:val="004D3949"/>
    <w:rsid w:val="005F314B"/>
    <w:rsid w:val="006A5FEB"/>
    <w:rsid w:val="007264B9"/>
    <w:rsid w:val="00892DEC"/>
    <w:rsid w:val="008C5890"/>
    <w:rsid w:val="00965362"/>
    <w:rsid w:val="00AD5918"/>
    <w:rsid w:val="00BA1BA9"/>
    <w:rsid w:val="00BD0502"/>
    <w:rsid w:val="00C15DFF"/>
    <w:rsid w:val="00C378E5"/>
    <w:rsid w:val="00C50D12"/>
    <w:rsid w:val="00C83413"/>
    <w:rsid w:val="00E6673E"/>
    <w:rsid w:val="00E91FAE"/>
    <w:rsid w:val="00EC36A6"/>
    <w:rsid w:val="00EF4A6E"/>
    <w:rsid w:val="00F419B7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2EC"/>
  <w15:docId w15:val="{3C8CB832-0FF5-4DDD-AD83-8EC4607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0D12"/>
  </w:style>
  <w:style w:type="paragraph" w:styleId="1">
    <w:name w:val="heading 1"/>
    <w:basedOn w:val="a0"/>
    <w:next w:val="a0"/>
    <w:link w:val="10"/>
    <w:qFormat/>
    <w:rsid w:val="00EC36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EC36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EC36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EC36A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EC36A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EC36A6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EC36A6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EC36A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B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1BA9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965362"/>
    <w:pPr>
      <w:ind w:left="720"/>
      <w:contextualSpacing/>
    </w:pPr>
  </w:style>
  <w:style w:type="paragraph" w:styleId="a7">
    <w:name w:val="header"/>
    <w:basedOn w:val="a0"/>
    <w:link w:val="a8"/>
    <w:unhideWhenUsed/>
    <w:rsid w:val="00EC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C36A6"/>
  </w:style>
  <w:style w:type="character" w:customStyle="1" w:styleId="10">
    <w:name w:val="Заголовок 1 Знак"/>
    <w:basedOn w:val="a1"/>
    <w:link w:val="1"/>
    <w:rsid w:val="00EC36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rsid w:val="00EC36A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1"/>
    <w:link w:val="4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1"/>
    <w:link w:val="6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EC36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EC36A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EC36A6"/>
  </w:style>
  <w:style w:type="paragraph" w:styleId="a9">
    <w:name w:val="caption"/>
    <w:basedOn w:val="a0"/>
    <w:qFormat/>
    <w:rsid w:val="00EC36A6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a">
    <w:name w:val="Body Text Indent"/>
    <w:basedOn w:val="a0"/>
    <w:link w:val="ab"/>
    <w:rsid w:val="00EC36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EC36A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0"/>
    <w:link w:val="ad"/>
    <w:rsid w:val="00EC36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1"/>
    <w:link w:val="ac"/>
    <w:rsid w:val="00EC36A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rsid w:val="00EC36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EC36A6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EC3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EC36A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rsid w:val="00EC36A6"/>
    <w:rPr>
      <w:color w:val="0000FF"/>
      <w:u w:val="single"/>
    </w:rPr>
  </w:style>
  <w:style w:type="paragraph" w:styleId="31">
    <w:name w:val="Body Text 3"/>
    <w:basedOn w:val="a0"/>
    <w:link w:val="32"/>
    <w:rsid w:val="00EC3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C36A6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EC36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EC36A6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1"/>
    <w:rsid w:val="00EC36A6"/>
  </w:style>
  <w:style w:type="paragraph" w:styleId="af0">
    <w:basedOn w:val="a0"/>
    <w:next w:val="af1"/>
    <w:rsid w:val="00EC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0"/>
    <w:link w:val="af3"/>
    <w:rsid w:val="00EC3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1"/>
    <w:link w:val="af2"/>
    <w:rsid w:val="00EC36A6"/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2"/>
    <w:uiPriority w:val="59"/>
    <w:rsid w:val="00EC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rsid w:val="00EC36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Strong"/>
    <w:qFormat/>
    <w:rsid w:val="00EC36A6"/>
    <w:rPr>
      <w:b/>
      <w:bCs/>
    </w:rPr>
  </w:style>
  <w:style w:type="paragraph" w:customStyle="1" w:styleId="12">
    <w:name w:val="Знак1 Знак Знак Знак"/>
    <w:basedOn w:val="a0"/>
    <w:rsid w:val="00EC36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EC36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8">
    <w:name w:val="FollowedHyperlink"/>
    <w:rsid w:val="00EC36A6"/>
    <w:rPr>
      <w:color w:val="800080"/>
      <w:u w:val="single"/>
    </w:rPr>
  </w:style>
  <w:style w:type="paragraph" w:customStyle="1" w:styleId="Default">
    <w:name w:val="Default"/>
    <w:rsid w:val="00EC3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EC36A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C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C3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EC3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1"/>
    <w:link w:val="af9"/>
    <w:uiPriority w:val="10"/>
    <w:rsid w:val="00EC3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EC36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</cp:revision>
  <dcterms:created xsi:type="dcterms:W3CDTF">2021-02-17T07:10:00Z</dcterms:created>
  <dcterms:modified xsi:type="dcterms:W3CDTF">2021-02-17T07:21:00Z</dcterms:modified>
</cp:coreProperties>
</file>